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8151B2" w:rsidRPr="008151B2" w:rsidTr="008151B2">
        <w:trPr>
          <w:jc w:val="center"/>
        </w:trPr>
        <w:tc>
          <w:tcPr>
            <w:tcW w:w="3348" w:type="dxa"/>
            <w:tcBorders>
              <w:top w:val="nil"/>
              <w:left w:val="nil"/>
              <w:bottom w:val="nil"/>
              <w:right w:val="nil"/>
            </w:tcBorders>
            <w:tcMar>
              <w:top w:w="0" w:type="dxa"/>
              <w:left w:w="108" w:type="dxa"/>
              <w:bottom w:w="0" w:type="dxa"/>
              <w:right w:w="108" w:type="dxa"/>
            </w:tcMar>
            <w:hideMark/>
          </w:tcPr>
          <w:p w:rsidR="008151B2" w:rsidRPr="008151B2" w:rsidRDefault="008151B2" w:rsidP="008151B2">
            <w:pPr>
              <w:spacing w:before="120" w:after="0" w:line="240" w:lineRule="auto"/>
              <w:jc w:val="center"/>
              <w:rPr>
                <w:rFonts w:eastAsia="Times New Roman" w:cs="Times New Roman"/>
                <w:szCs w:val="24"/>
                <w:lang w:eastAsia="vi-VN"/>
              </w:rPr>
            </w:pPr>
            <w:r w:rsidRPr="008151B2">
              <w:rPr>
                <w:rFonts w:eastAsia="Times New Roman" w:cs="Times New Roman"/>
                <w:b/>
                <w:bCs/>
                <w:szCs w:val="24"/>
                <w:lang w:eastAsia="vi-VN"/>
              </w:rPr>
              <w:t>CHÍNH PHỦ</w:t>
            </w:r>
            <w:r w:rsidRPr="008151B2">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8151B2" w:rsidRPr="008151B2" w:rsidRDefault="008151B2" w:rsidP="008151B2">
            <w:pPr>
              <w:spacing w:before="120" w:after="0" w:line="240" w:lineRule="auto"/>
              <w:jc w:val="center"/>
              <w:rPr>
                <w:rFonts w:eastAsia="Times New Roman" w:cs="Times New Roman"/>
                <w:szCs w:val="24"/>
                <w:lang w:eastAsia="vi-VN"/>
              </w:rPr>
            </w:pPr>
            <w:r w:rsidRPr="008151B2">
              <w:rPr>
                <w:rFonts w:eastAsia="Times New Roman" w:cs="Times New Roman"/>
                <w:b/>
                <w:bCs/>
                <w:szCs w:val="24"/>
                <w:lang w:eastAsia="vi-VN"/>
              </w:rPr>
              <w:t>CỘNG HÒA XÃ HỘI CHỦ NGHĨA VIỆT NAM</w:t>
            </w:r>
            <w:r w:rsidRPr="008151B2">
              <w:rPr>
                <w:rFonts w:eastAsia="Times New Roman" w:cs="Times New Roman"/>
                <w:b/>
                <w:bCs/>
                <w:szCs w:val="24"/>
                <w:lang w:eastAsia="vi-VN"/>
              </w:rPr>
              <w:br/>
              <w:t xml:space="preserve">Độc lập - Tự do - Hạnh phúc </w:t>
            </w:r>
            <w:r w:rsidRPr="008151B2">
              <w:rPr>
                <w:rFonts w:eastAsia="Times New Roman" w:cs="Times New Roman"/>
                <w:b/>
                <w:bCs/>
                <w:szCs w:val="24"/>
                <w:lang w:eastAsia="vi-VN"/>
              </w:rPr>
              <w:br/>
              <w:t>---------------</w:t>
            </w:r>
          </w:p>
        </w:tc>
      </w:tr>
      <w:tr w:rsidR="008151B2" w:rsidRPr="008151B2" w:rsidTr="008151B2">
        <w:trPr>
          <w:jc w:val="center"/>
        </w:trPr>
        <w:tc>
          <w:tcPr>
            <w:tcW w:w="3348" w:type="dxa"/>
            <w:tcBorders>
              <w:top w:val="nil"/>
              <w:left w:val="nil"/>
              <w:bottom w:val="nil"/>
              <w:right w:val="nil"/>
            </w:tcBorders>
            <w:tcMar>
              <w:top w:w="0" w:type="dxa"/>
              <w:left w:w="108" w:type="dxa"/>
              <w:bottom w:w="0" w:type="dxa"/>
              <w:right w:w="108" w:type="dxa"/>
            </w:tcMar>
            <w:hideMark/>
          </w:tcPr>
          <w:p w:rsidR="008151B2" w:rsidRPr="008151B2" w:rsidRDefault="008151B2" w:rsidP="008151B2">
            <w:pPr>
              <w:spacing w:before="120" w:after="0" w:line="240" w:lineRule="auto"/>
              <w:jc w:val="center"/>
              <w:rPr>
                <w:rFonts w:eastAsia="Times New Roman" w:cs="Times New Roman"/>
                <w:szCs w:val="24"/>
                <w:lang w:eastAsia="vi-VN"/>
              </w:rPr>
            </w:pPr>
            <w:r w:rsidRPr="008151B2">
              <w:rPr>
                <w:rFonts w:eastAsia="Times New Roman" w:cs="Times New Roman"/>
                <w:szCs w:val="24"/>
                <w:lang w:eastAsia="vi-VN"/>
              </w:rPr>
              <w:t>Số: 49/2016/NĐ-CP</w:t>
            </w:r>
          </w:p>
        </w:tc>
        <w:tc>
          <w:tcPr>
            <w:tcW w:w="5508" w:type="dxa"/>
            <w:tcBorders>
              <w:top w:val="nil"/>
              <w:left w:val="nil"/>
              <w:bottom w:val="nil"/>
              <w:right w:val="nil"/>
            </w:tcBorders>
            <w:tcMar>
              <w:top w:w="0" w:type="dxa"/>
              <w:left w:w="108" w:type="dxa"/>
              <w:bottom w:w="0" w:type="dxa"/>
              <w:right w:w="108" w:type="dxa"/>
            </w:tcMar>
            <w:hideMark/>
          </w:tcPr>
          <w:p w:rsidR="008151B2" w:rsidRPr="008151B2" w:rsidRDefault="008151B2" w:rsidP="008151B2">
            <w:pPr>
              <w:spacing w:before="120" w:after="0" w:line="240" w:lineRule="auto"/>
              <w:jc w:val="right"/>
              <w:rPr>
                <w:rFonts w:eastAsia="Times New Roman" w:cs="Times New Roman"/>
                <w:szCs w:val="24"/>
                <w:lang w:eastAsia="vi-VN"/>
              </w:rPr>
            </w:pPr>
            <w:r w:rsidRPr="008151B2">
              <w:rPr>
                <w:rFonts w:eastAsia="Times New Roman" w:cs="Times New Roman"/>
                <w:i/>
                <w:iCs/>
                <w:szCs w:val="24"/>
                <w:lang w:eastAsia="vi-VN"/>
              </w:rPr>
              <w:t>Hà Nội, ngày 27 tháng 5 năm 2016</w:t>
            </w:r>
          </w:p>
        </w:tc>
      </w:tr>
    </w:tbl>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 </w:t>
      </w:r>
    </w:p>
    <w:p w:rsidR="008151B2" w:rsidRPr="008151B2" w:rsidRDefault="008151B2" w:rsidP="008151B2">
      <w:pPr>
        <w:spacing w:before="120" w:after="100" w:afterAutospacing="1" w:line="240" w:lineRule="auto"/>
        <w:jc w:val="center"/>
        <w:rPr>
          <w:rFonts w:eastAsia="Times New Roman" w:cs="Times New Roman"/>
          <w:szCs w:val="24"/>
          <w:lang w:eastAsia="vi-VN"/>
        </w:rPr>
      </w:pPr>
      <w:r w:rsidRPr="008151B2">
        <w:rPr>
          <w:rFonts w:eastAsia="Times New Roman" w:cs="Times New Roman"/>
          <w:b/>
          <w:bCs/>
          <w:szCs w:val="24"/>
          <w:lang w:eastAsia="vi-VN"/>
        </w:rPr>
        <w:t>NGHỊ ĐỊNH</w:t>
      </w:r>
    </w:p>
    <w:p w:rsidR="008151B2" w:rsidRPr="008151B2" w:rsidRDefault="008151B2" w:rsidP="008151B2">
      <w:pPr>
        <w:spacing w:before="120" w:after="100" w:afterAutospacing="1" w:line="240" w:lineRule="auto"/>
        <w:jc w:val="center"/>
        <w:rPr>
          <w:rFonts w:eastAsia="Times New Roman" w:cs="Times New Roman"/>
          <w:szCs w:val="24"/>
          <w:lang w:eastAsia="vi-VN"/>
        </w:rPr>
      </w:pPr>
      <w:r w:rsidRPr="008151B2">
        <w:rPr>
          <w:rFonts w:eastAsia="Times New Roman" w:cs="Times New Roman"/>
          <w:szCs w:val="24"/>
          <w:lang w:eastAsia="vi-VN"/>
        </w:rPr>
        <w:t>SỬA ĐỔI, BỔ SUNG MỘT SỐ ĐIỀU CỦA NGHỊ ĐỊNH SỐ 109/2013/NĐ-CP NGÀY 24 THÁNG 9 NĂM 2013 QUY ĐỊNH XỬ PHẠT VI PHẠM HÀNH CHÍNH TRONG LĨNH VỰC QUẢN LÝ GIÁ, PHÍ, LỆ PHÍ, HÓA ĐƠN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i/>
          <w:iCs/>
          <w:szCs w:val="24"/>
          <w:lang w:eastAsia="vi-VN"/>
        </w:rPr>
        <w:t>Căn cứ Luật Tổ chức Chính phủ ngày 19 tháng 6 năm 2015;</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i/>
          <w:iCs/>
          <w:szCs w:val="24"/>
          <w:lang w:eastAsia="vi-VN"/>
        </w:rPr>
        <w:t>Căn cứ Luật Xử lý vi phạm hành chính ngày 20 tháng 6 năm 2012;</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i/>
          <w:iCs/>
          <w:szCs w:val="24"/>
          <w:lang w:eastAsia="vi-VN"/>
        </w:rPr>
        <w:t>Căn cứ Luật Quản lý thuế ngày 29 tháng 11 năm 2006 và Luật sửa đổi, bổ sung một số điều của Luật Quản lý thuế ngày 20 tháng 11 năm 2012;</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i/>
          <w:iCs/>
          <w:szCs w:val="24"/>
          <w:lang w:eastAsia="vi-VN"/>
        </w:rPr>
        <w:t>Căn cứ Luật Giá ngày 20 tháng 6 năm 2012;</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i/>
          <w:iCs/>
          <w:szCs w:val="24"/>
          <w:lang w:eastAsia="vi-VN"/>
        </w:rPr>
        <w:t>Căn cứ Pháp lệnh Phí và lệ phí ngày 28 tháng 8 năm 2001;</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i/>
          <w:iCs/>
          <w:szCs w:val="24"/>
          <w:lang w:eastAsia="vi-VN"/>
        </w:rPr>
        <w:t>Theo đề nghị của Bộ trưởng Bộ Tài chính;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i/>
          <w:iCs/>
          <w:szCs w:val="24"/>
          <w:lang w:eastAsia="vi-VN"/>
        </w:rPr>
        <w:t>Chính phủ ban hành Nghị định sửa đổi, bổ sung một số điều của Nghị định số 109/2013/NĐ-CP ngày 24 tháng 9 năm 2013 của Chính phủ quy định xử phạt vi phạm hành chính trong lĩnh vực quản lý giá, phí, lệ phí, hóa đơn.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b/>
          <w:bCs/>
          <w:szCs w:val="24"/>
          <w:lang w:eastAsia="vi-VN"/>
        </w:rPr>
        <w:t>Điều 1. Sửa đổi, bổ sung một số Điều quy định xử phạt vi phạm hành chính trong lĩnh vực quản lý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1. Sửa đổi, bổ sung Điểm d và đ Khoản 1 Điều 3 như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“d) Tước có thời hạn Thẻ thẩm định viên về giá; đình chỉ có thời hạn hoạt động kinh doanh dịch vụ thẩm định giá; đình chỉ có thời hạn hoạt động đào tạo, bồi dưỡng nghiệp vụ chuyên ngành thẩm định giá; đình chỉ quyền tự in hóa đơn, quyền khởi tạo hóa đơn điện tử; đình chỉ in hóa đơn;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 xml:space="preserve">đ) Buộc nộp vào Quỹ bình ổn giá số tiền do trích lập, sử dụng, hạch toán và kết chuyển không đúng Quỹ bình ổn giá; nộp ngân sách nhà nước số tiền có được do hành vi vi phạm; trả lại khách hàng số tiền chênh lệch do bán cao hơn mức giá quy định và mọi chi phí phát sinh do hành vi vi phạm gây ra; dừng thực hiện mức giá bán hàng hóa, dịch vụ do tổ chức, cá nhân quy định; buộc thực hiện kê khai hoặc đăng ký đối với mức giá đang áp dụng theo quy định; tiêu hủy hoặc tịch thu tiêu hủy ấn phẩm có nội dung thông tin sai phạm; hủy kết quả thẩm định giá tại chứng thư thẩm định giá; báo cáo cho Bộ Tài chính nội dung về tổ chức đào tạo, bồi dưỡng nghiệp vụ chuyên ngành thẩm định giá; thu hồi và không công nhận các chứng chỉ, giấy chứng nhận đào tạo, bồi dưỡng nghiệp vụ chuyên ngành thẩm định giá; hoàn trả chi phí </w:t>
      </w:r>
      <w:r w:rsidRPr="008151B2">
        <w:rPr>
          <w:rFonts w:eastAsia="Times New Roman" w:cs="Times New Roman"/>
          <w:szCs w:val="24"/>
          <w:lang w:eastAsia="vi-VN"/>
        </w:rPr>
        <w:lastRenderedPageBreak/>
        <w:t>đào tạo, bồi dưỡng cho các học viên tham gia học; hoàn trả tiền phí, lệ phí cho người nộp; hủy các hóa đơn; thực hiện thủ tục phát hành hóa đơn theo quy định”.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2. Sửa đổi, bổ sung Khoản 6, Khoản 7 và Khoản 8 Điều 5 như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“6. Phạt tiền từ 30.000.000 đồng đến 40.000.000 đồng đối với hành vi trích lập; sử dụng; kết chuyển hoặc hạch toán Quỹ bình ổn giá không đúng quy định của pháp luật về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7. Phạt tiền từ 40.000.000 đồng đến 60.000.000 đồng đối với hành vi không kết chuyển hoặc trích lập Quỹ bình ổn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8. Biện pháp khắc phục hậu quả:</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Buộc nộp vào Quỹ bình ổn giá toàn bộ số tiền do sử dụng, kết chuyển hoặc hạch toán không đúng Quỹ bình ổn giá theo quy định tại Khoản 6 Điều này;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b) Buộc nộp vào Quỹ bình ổn giá toàn bộ số tiền do trích lập không đúng hoặc không trích lập Quỹ bình ổn giá và khoản lãi tính trên số dư Quỹ bình ổn giá phát sinh (nếu có) theo quy định tại Khoản 6 và Khoản 7 Điều này;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c) Buộc kết chuyển Quỹ bình ổn giá đối với hành vi vi phạm quy định tại Khoản 7 Điều này”.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3. Sửa đổi, bổ sung Điều 8 như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b/>
          <w:bCs/>
          <w:szCs w:val="24"/>
          <w:lang w:eastAsia="vi-VN"/>
        </w:rPr>
        <w:t>“Điều 8. Hành vi không chấp hành đúng giá do cơ quan, người có thẩm quyền quy định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1. Phạt tiền từ 10.000.000 đồng đến 15.000.000 đồng đối với hành vi bán hàng hóa, cung ứng dịch vụ không đúng với mức giá do cơ quan, người có thẩm quyền quy định, trừ các hành vi quy định tại Khoản 2, 3 và Khoản 4 Điều này.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2. Phạt tiền từ 20.000.000 đồng đến 25.000.000 đồng đối với hành vi bán hàng hóa, cung ứng dịch vụ không đúng với mức giá do Ủy ban nhân dân tỉnh, thành phố trực thuộc Trung ương quy định.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3. Phạt tiền từ 25.000.000 đồng đến 30.000.000 đồng đối với hành vi bán hàng hóa, cung ứng dịch vụ không đúng với mức giá cụ thể hoặc không nằm trong khung giá hoặc cao hơn mức giá tối đa hoặc thấp hơn mức giá tối thiểu do Bộ trưởng, Thủ trưởng cơ quan ngang Bộ quy định.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4. Phạt tiền từ 30.000.000 đồng đến 35.000.000 đồng đối với hành vi bán hàng hóa, cung ứng dịch vụ không đúng với mức giá cụ thể hoặc không nằm trong khung giá hoặc cao hơn mức giá tối đa hoặc thấp hơn mức giá tối thiểu do Chính phủ, Thủ tướng Chính phủ quy định.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5. Biện pháp khắc phục hậu quả: Buộc trả lại cho khách hàng toàn bộ tiền chênh lệch do bán cao hơn mức giá quy định và mọi chi phí phát sinh do hành vi vi phạm gây ra tại Khoản 1, Khoản 2, Khoản 3 và Khoản 4 Điều này, trong trường hợp khó hoặc không xác định được khách hàng để trả lại thì nộp toàn bộ số tiền chênh lệch vào ngân sách nhà nước”.</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4. Sửa đổi, bổ sung Điều 11 như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b/>
          <w:bCs/>
          <w:szCs w:val="24"/>
          <w:lang w:eastAsia="vi-VN"/>
        </w:rPr>
        <w:lastRenderedPageBreak/>
        <w:t>“Điều 11. Hành vi vi phạm quy định về kê khai giá, đăng ký giá hàng hóa, dịch vụ</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1. Phạt tiền từ 1.000.000 đồng đến 3.000.000 đồng đối với hành vi kê khai không đủ các nội dung của văn bản kê khai giá sau khi cơ quan nhà nước có thẩm quyền tiếp nhận kê khai giá đã có văn bản nhắc nhở, yêu cầu nộp lại văn bản kê khai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2. Phạt tiền từ 3.000.000 đồng đến 5.000.000 đồng đối với một trong các hành vi sau đây: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Không thông báo bằng văn bản về mức giá điều chỉnh tăng hoặc giảm cho cơ quan nhà nước có thẩm quyền trong các trường hợp phải thực hiện thông báo giá theo quy định của pháp luật về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b) Áp dụng mức giá kê khai, đăng ký không đúng thời hạn theo quy định của pháp luật về giá kể từ ngày thực hiện kê khai giá, đăng ký giá với cơ quan nhà nước có thẩm quyền.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3. Phạt tiền từ 5.000.000 đồng đến 10.000.000 đồng đối với một trong các hành vi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Không kê khai giá đúng thời hạn theo yêu cầu bằng văn bản của cơ quan nhà nước có thẩm quyền;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b) Không kê khai giảm giá phù hợp với biến động giảm giá của yếu tố hình thành giá theo yêu cầu bằng văn bản của cơ quan nhà nước có thẩm quyền.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4. Phạt tiền từ 10.000.000 đồng đến 15.000.000 đồng đối với hành vi không đăng ký giá đúng thời hạn theo yêu cầu bằng văn bản của cơ quan nhà nước có thẩm quyền.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5. Đối với hành vi không kê khai giá với cơ quan nhà nước có thẩm quyền theo quy định: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Phạt tiền từ 5.000.000 đồng đến 10.000.000 đồng đối với hành vi không kê khai giá từ 01 đến 10 hàng hóa, dịch vụ cụ thể thuộc diện kê khai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b) Phạt tiền từ 10.000.000 đồng đến 15.000.000 đồng đối với hành vi vi phạm quy định tại Điểm a Khoản này trong trường hợp vi phạm nhiều lần, tái phạm; hành vi không kê khai giá từ 11 đến 20 hàng hóa, dịch vụ cụ thể thuộc diện kê khai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c) Phạt tiền từ 15.000.000 đồng đến 20.000.000 đồng đối với hành vi vi phạm quy định tại Điểm b Khoản này trong trường hợp vi phạm nhiều lần, tái phạm; hành vi không kê khai giá từ 21 hàng hóa, dịch vụ cụ thể thuộc diện kê khai giá trở lên;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d) Phạt tiền từ 20.000.000 đồng đến 25.000.000 đồng đối với hành vi không kê khai giá từ 21 hàng hóa, dịch vụ cụ thể thuộc diện kê khai giá trở lên trong trường hợp vi phạm nhiều lần, tái phạm.</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6. Đối với hành vi không đăng ký giá với cơ quan nhà nước có thẩm quyền theo quy định:</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Phạt tiền từ 10.000.000 đồng đến 15.000.000 đồng đối với hành vi không đăng ký giá từ 01 đến 10 hàng hóa, dịch vụ cụ thể thuộc diện đăng ký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lastRenderedPageBreak/>
        <w:t>b) Phạt tiền từ 15.000.000 đồng đến 20.000.000 đồng đối với hành vi vi phạm quy định tại Điểm a Khoản này trong trường hợp vi phạm nhiều lần, tái phạm; hành vi không đăng ký giá từ 11 đến 20 hàng hóa, dịch vụ cụ thể thuộc diện đăng ký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c) Phạt tiền từ 20.000.000 đồng đến 25.000.000 đồng đối với hành vi vi phạm quy định tại Điểm b Khoản này trong trường hợp vi phạm nhiều lần, tái phạm; hành vi không đăng ký giá từ 21 hàng hóa, dịch vụ cụ thể thuộc diện đăng ký giá trở lên;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d) Phạt tiền từ 25.000.000 đồng đến 30.000.000 đồng đối với hành vi không đăng ký giá từ 21 hàng hóa, dịch vụ cụ thể thuộc diện kê khai giá trở lên trong trường hợp vi phạm nhiều lần, tái phạm.</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7. Biện pháp khắc phục hậu quả: Buộc thực hiện kê khai hoặc đăng ký đối với mức giá đang áp dụng theo quy định đối với hành vi vi phạm quy định tại Điểm a Khoản 3, Khoản 4, Khoản 5 và Khoản 6 Điều này”.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5. Sửa đổi, bổ sung Khoản 1, Khoản 2 Điều 12 như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“1. Phạt tiền từ 500.000 đồng đến 1.000.000 đồng đối với một trong các hành vi sau đây: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Không niêm yết giá hàng hóa, dịch vụ tại địa Điểm phải niêm yết giá theo quy định của pháp luật;</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b) Niêm yết giá không rõ ràng gây nhầm lẫn cho khách hàng.</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2. Phạt tiền từ 1.000.000 đồng đến 3.000.000 đồng đối với một trong các hành vi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Hành vi vi phạm quy định tại Khoản 1 Điều này trong trường hợp vi phạm nhiều lần; tái phạm;</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b) Niêm yết giá không đúng giá cụ thể hoặc không nằm trong khung giá hoặc cao hơn mức giá tối đa hoặc thấp hơn mức giá tối thiểu do cơ quan nhà nước có thẩm quyền quy định đối với hàng hóa, dịch vụ thuộc Danh mục hàng hóa, dịch vụ do Nhà nước định giá”.</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6. Sửa đổi, bổ sung Điều 14 như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b/>
          <w:bCs/>
          <w:szCs w:val="24"/>
          <w:lang w:eastAsia="vi-VN"/>
        </w:rPr>
        <w:t>“Điều 14. Hành vi đưa tin thất thiệt về thị trường, giá cả hàng hóa, dịch vụ</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1. Phạt tiền từ 10.000.000 đồng đến 15.000.000 đồng đối với hành vi bịa đặt, loan tin, đưa tin không đúng sự thật về tình hình thị trường, giá cả hàng hóa, dịch vụ gây tâm lý hoang mang trong xã hội và bất ổn thị trường trừ trường hợp quy định tại Khoản 2 Điều này.</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2. Hành vi đưa tin không đúng sự thật về tình hình thị trường, giá cả hàng hóa, dịch vụ gây tâm lý hoang mang trong xã hội và bất ổn thị trường trên phương tiện thông tin đại chúng như báo in, báo nói, báo hình, báo điện tử hoặc các ấn phẩm thông tin khác được xử phạt theo quy định của pháp luật về xử phạt vi phạm hành chính trong hoạt động báo chí, xuất bản”.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7. Sửa đổi, bổ sung Khoản 2 và Khoản 5 Điều 15 như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lastRenderedPageBreak/>
        <w:t>“2. Phạt tiền từ 5.000.000 đồng đến 8.000.000 đồng đối với hành vi chậm cung cấp báo cáo định kỳ, số liệu, tài liệu so với yêu cầu của cơ quan nhà nước có thẩm quyền trong thời hạn từ 05 ngày làm việc đến 15 ngày làm việc; cung cấp không chính xác thông tin về giá hàng hóa, dịch vụ theo yêu cầu bằng văn bản của cơ quan nhà nước có thẩm quyền.</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5. Phạt tiền từ 9.000.000 đồng đến 12.000.000 đối với một trong các hành vi sau:</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a) Chậm cung cấp báo cáo định kỳ, số liệu, tài liệu so với yêu cầu của cơ quan nhà nước có thẩm quyền quá thời hạn 15 ngày làm việc;</w:t>
      </w:r>
    </w:p>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szCs w:val="24"/>
          <w:lang w:eastAsia="vi-VN"/>
        </w:rPr>
        <w:t>b) Chậm cung cấp so với yêu cầu của cơ quan nhà nước có thẩm quyền quá 10 ngày làm việc về số liệu, tài liệu có liên quan theo yêu cầu bằng văn bản của cơ quan có thẩm quyền trong trường hợp Nhà nước định giá, kiểm tra yếu tố hình thành giá đối với hàng hóa, dịch vụ của tổ chức, cá nhân sản xuất, kinh doanh”.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8. Bổ sung Điều 15a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15a. Hành vi vi phạm về việc xây dựng, khai thác, sử dụng Cơ sở dữ liệu về giá, Cơ sở dữ liệu quốc gia về giá</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Phạt cảnh cáo đối với hành vi không cung cấp và cập nhật thông tin về giá; cung cấp và cập nhật thông tin về giá không thường xuyên theo quy định; cung cấp và cập nhật thông tin sai lệch vào Cơ sở dữ liệu về giá, Cơ sở dữ liệu quốc gia về giá.</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Phạt tiền từ 1.000.000 đồng đến 5.000.000 đồng đối với một trong các hành vi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Hành vi vi phạm quy định tại quy định tại Khoản 1 Điều này trong trường hợp vi phạm nhiều lần; tái phạm;</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Sử dụng dữ liệu về giá trong Cơ sở dữ liệu về giá, Cơ sở dữ liệu quốc gia về giá không đúng với mục đích đã được cơ quan có thẩm quyền quản lý cơ sở dữ liệu đó cho phép.</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Phạt tiền từ 5.000.000 đồng đến 10.000.000 đồng đối với hành vi truy cập, xâm nhập hoặc tìm cách truy cập, xâm nhập để phá hoại, làm thay đổi dữ liệu và cấu trúc chương trình phần mềm trong Cơ sở dữ liệu về giá, Cơ sở dữ liệu quốc gia về giá”.</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9. Sửa đổi, bổ sung Khoản 11 Điều 18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“11. Đối với hành vi mua bảo hiểm trách nhiệm nghề nghiệp và trích lập quỹ dự phòng rủi ro nghề nghiệp:</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Phạt cảnh cáo hoặc phạt tiền từ 500.000 đồng đến 1.000.000 đồng đối với hành vi trích lập quỹ dự phòng rủi ro nghề nghiệp không đúng mức trích lập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Phạt tiền từ 5.000.000 đồng đến 10.000.000 đồng đối với hành vi không mua bảo hiểm trách nhiệm nghề nghiệp, đồng thời không trích lập quỹ dự phòng rủi ro nghề nghiệp”.</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10. Sửa đổi, bổ sung Điều 21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lastRenderedPageBreak/>
        <w:t>“Điều 21. Hành vi vi phạm đối với đơn vị tổ chức đào tạo, bồi dưỡng nghiệp vụ chuyên ngành thẩm định giá</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Phạt cảnh cáo hoặc phạt tiền từ 500.000 đồng đến 1.000.000 đồng đối với đơn vị tổ chức đào tạo, bồi dưỡng có một trong các hành vi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Không gửi thông báo mở khóa học, lớp học kèm theo hồ sơ tài liệu theo quy định trước khi mở khóa học, lớp học;</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Tổ chức một lớp học quá 70 học viên;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Thực hiện không đúng việc lấy ý kiến đánh giá của học viên trên Phiếu đánh giá chất lượng khóa học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Phạt tiền từ 5.000.000 đồng đến 10.000.000 đồng đối với đơn vị tổ chức đào tạo, bồi dưỡng có một trong các hành vi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Không đảm bảo về nội dung, chương trình, thời lượng tối thiểu của khóa học, lớp học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Không thực hiện việc lấy ý kiến đánh giá của học viên trên Phiếu đánh giá chất lượng khóa học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Không báo cáo kết quả tổ chức khóa học, lớp học kèm theo hồ sơ, tài liệu theo quy định sau khi kết thúc khóa học, lớp học;</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d) Không báo cáo một năm tình hình hoạt động đào tạo, bồi dưỡng;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đ) Bố trí giảng viên không đáp ứng tiêu chuẩn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e) Biên soạn và sử dụng tài liệu đào tạo, bồi dưỡng không đúng so với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g) Thực hiện kiểm tra đánh giá kết quả học tập không đúng so với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h) Cấp chứng chỉ, giấy chứng nhận không đúng so với mẫu chứng chỉ, giấy chứng nhận theo quy định của Bộ Tài chính;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i) Lưu trữ hồ sơ liên quan đến tổ chức đào tạo, bồi dưỡng không đầy đủ, không đúng thời gian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Phạt tiền từ 10.000.000 đồng đến 20.000.000 đồng đối với đơn vị tổ chức đào tạo, bồi dưỡng có một trong các hành vi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Cấp chứng chỉ, giấy chứng nhận cho học viên không đạt yêu cầu khóa học, lớp học theo quy định của pháp luật về thời gian học và kết quả kiểm tra;</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Cấp chứng chỉ, giấy chứng nhận cho những người thực tế không tham gia học.</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4. Phạt tiền từ 20.000.000 đồng đến 30.000.000 đồng đối với đơn vị tổ chức đào tạo, bồi dưỡng có một trong các hành vi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lastRenderedPageBreak/>
        <w:t>a) Mở khóa học, lớp học khi không đủ điều kiện theo quy định của Bộ Tài chính;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Mở khóa học, lớp học khi chưa được Bộ Tài chính chấp thuận;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Mở khóa học, lớp học khi không có tên trong danh sách các đơn vị được tổ chức đào tạo, bồi dưỡng theo quy định của Bộ Tài chính.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5. Hình thức xử phạt bổ sung: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Đình chỉ hoạt động tổ chức đào tạo, bồi dưỡng trong thời gian từ 01 tháng đến 03 tháng kể từ ngày quyết định xử phạt có hiệu lực đối với hành vi vi phạm tại Khoản 2 và Điểm a Khoản 3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Đình chỉ hoạt động tổ chức đào tạo, bồi dưỡng trong thời gian từ 03 tháng đến 06 tháng kể từ ngày quyết định xử phạt có hiệu lực đối với hành vi vi phạm tại Điểm b Khoản 3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Đình chỉ hoạt động tổ chức đào tạo, bồi dưỡng trong thời gian từ 06 tháng đến 09 tháng kể từ ngày quyết định xử phạt có hiệu lực đối với hành vi vi phạm tại Điểm a Khoản 4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6. Biện pháp khắc phục hậu quả:</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Buộc báo cáo cho Bộ Tài chính nội dung về tổ chức đào tạo, bồi dưỡng đối với các hành vi vi phạm quy định tại Điểm a Khoản 1 và Điểm c và d Khoản 2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Buộc cấp lại chứng chỉ, giấy chứng nhận đào tạo, bồi dưỡng cho các học viên tham gia học đối với hành vi vi phạm quy định tại Điểm h Khoản 2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Buộc thu hồi và không công nhận chứng chỉ, giấy chứng nhận đào tạo, bồi dưỡng, đồng thời buộc nộp vào ngân sách nhà nước số tiền thu lợi do hành vi vi phạm quy định tại Khoản 3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d) Buộc thu hồi và không công nhận chứng chỉ, giấy chứng nhận đào tạo, bồi dưỡng, đồng thời buộc hoàn trả chi phí đào tạo, bồi dưỡng cho các học viên tham gia học đối với hành vi vi phạm quy định Khoản 4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11. Sửa đổi, bổ sung Khoản 2, Khoản 6 và Khoản 7 Điều 42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Trưởng đoàn thanh tra chuyên ngành giá có thẩm quyền: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Phạt tiền đến 200.000.000 đồng đối với tổ chức, 105.000.000 đồng đối với cá nhân có các hành vi vi phạm trong lĩnh vực quản lý giá theo quy định của Nghị định này và quy định của pháp luật có liên quan;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Áp dụng hình thức xử phạt bổ sung và biện pháp khắc phục hậu quả quy định tại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6. Chủ tịch Ủy ban nhân dân cấp tỉnh có thẩm quyền: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Phạt cảnh cáo;</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lastRenderedPageBreak/>
        <w:t>b) Phạt tiền đến mức tối đa đối với các hành vi vi phạm trong lĩnh vực giá theo quy định của Nghị định này và quy định của pháp luật có liên quan;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Áp dụng hình thức xử phạt bổ sung và biện pháp khắc phục hậu quả quy định tại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7. Chủ tịch Ủy ban nhân dân cấp huyện có thẩm quyền: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Phạt tiền đến 50.000.000 đồng đối với các hành vi vi phạm hành chính quy định tại Điều 8, Điều 11, Điều 12, Điều 13, Điều 14, Điều 16, Điều 17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Áp dụng biện pháp khắc phục hậu quả quy định tại Điều 8, Điều 11, Điều 12, Điều 13, Điều 14, Điều 16, Điều 17 Nghị định này và quy định của pháp luật có liên quan.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8. Chủ tịch Ủy ban nhân dân cấp xã có quyền phạt tiền đến 5.000.000 đồng đối với các hành vi vi phạm hành chính quy định tại Điều 12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2. Sửa đổi, bổ sung một số Điều quy định về xử phạt vi phạm hành chính trong lĩnh vực phí, lệ phí</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Sửa đổi, bổ sung Điều 23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23. Hành vi vi phạm quy định công khai chế độ thu phí, lệ phí</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Phạt tiền từ 2.000.000 đồng đến 5.000.000 đồng khi thực hiện một trong các hành vi sau đây: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Không công khai chế độ thu phí, lệ phí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Niêm yết hoặc thông báo không đúng quy định, không rõ ràng gây nhầm lẫn cho người nộp phí, lệ phí”.</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Sửa đổi, bổ sung Điều 24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24. Hành vi vi phạm quy định về nộp phí, lệ phí</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Phạt cảnh cáo đối với hành vi không thực hiện đúng thông báo nộp tiền phí, lệ phí của cơ quan có thẩm quyền.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Phạt tiền từ 1 đến 3 lần số tiền phí, lệ phí gian lận, trốn nộp đối với hành vi gian lận, trốn nộp phí, lệ phí theo quy định. Mức phạt tối đa là 50.000.000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Biện pháp khắc phục hậu quả</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Buộc người vi phạm nộp đủ số phí, lệ phí gian lận, trốn nộp”.</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Sửa đổi, bổ sung Điều 25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25. Hành vi vi phạm quy định về mức phí, lệ phí</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Đối với hành vi thu phí, lệ phí không đúng mức phí, lệ phí theo quy định của pháp luật:</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lastRenderedPageBreak/>
        <w:t>a) Phạt tiền từ 1.000.000 đồng đến dưới 2.000.000 đồng đối với hành vi vi phạm có số tiền vi phạm đến dưới 10.000.000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Phạt tiền từ 2.000.000 đồng đến dưới 5.000.000 đồng đối với hành vi vi phạm có số tiền vi phạm từ 10.000.000 đồng đến dưới 30.000.000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Phạt tiền từ 5.000.000 đồng đến dưới 7.500.000 đồng đối với hành vi vi phạm có số tiền vi phạm từ 30.000.000 đồng đến dưới 50.000.000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d) Phạt tiền từ 7.500.000 đồng đến dưới 15.000.000 đồng đối với hành vi vi phạm có số tiền vi phạm từ 50.000.000 đồng đến dưới 100.000.000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đ) Phạt tiền từ 15.000.000 đồng đến dưới 40.000.000 đồng đối với hành vi vi phạm có số tiền vi phạm từ 100.000.000 đồng đến dưới 300.000.000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e) Phạt tiền từ 40.000.000 đồng đến 50.000.000 đồng đối với hành vi vi phạm có số tiền vi phạm từ 300.000.000 đồng trở lên.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Hình thức xử phạt bổ sung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Tước quyền sử dụng giấy phép hoặc đình chỉ hoạt động liên quan đến hành vi vi phạm. Thời hạn tước quyền sử dụng giấy phép hoặc đình chỉ hoạt động có thời hạn từ 03 tháng đến 06 tháng kể từ ngày Quyết định xử phạt có hiệu lực thi hành.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Biện pháp khắc phục hậu quả</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Buộc hoàn trả toàn bộ tiền phí, lệ phí do thực hiện sai pháp luật về phí, lệ phí cho người nộp phí, lệ phí. Trong trường hợp không xác định được người nộp phí, lệ phí để hoàn trả thì nộp toàn bộ số tiền này vào ngân sách nhà nước”.</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4. Sửa đổi, bổ sung Điều 32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32. Hành vi làm mất, cho, bán chứng từ thu phí, lệ phí</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Phạt cảnh cáo đối với hành vi làm mất liên của mỗi số chứng từ không có mệnh giá, trừ liên giao cho người nộp tiền của chứng từ chưa sử dụng, áp dụng trong trường hợp vi phạm lần đầu.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Phạt tiền từ 100.000 đồng đến 300.000 đồng đối với hành vi làm mất các liên của mỗi số chứng từ không có mệnh giá, trừ liên giao cho người nộp tiền của chứng từ chưa sử dụng, áp dụng trong trường hợp vi phạm từ lần thứ hai trở đi.</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Phạt tiền từ 300.000 đồng đến 500.000 đồng đối với hành vi làm mất liên giao cho người nộp tiền của mỗi số chứng từ không có mệnh giá chưa sử dụng;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4. Đối với hành vi làm mất mỗi số của chứng từ thu phí, lệ phí có mệnh giá thì mức phạt tiền tối đa bằng mệnh giá in trên chứng từ thu phí, lệ phí. Số tiền phạt tối thiểu đối với hành vi làm chứng từ thu phí, lệ phí có mệnh giá là 50.000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5. Trường hợp cho, bán chứng từ phát hiện đã sử dụng: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lastRenderedPageBreak/>
        <w:t>a) Phạt tiền từ 1.000.000 đồng đến dưới 2.000.000 đồng đối với mỗi số chứng từ có số tiền ghi trong chứng từ dưới 2.000.000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Phạt tiền từ 2.000.000 đồng đến dưới 4.000.000 đồng đối với mỗi số chứng từ có số tiền ghi trong chứng từ từ 2.000.000 đến dưới 5.000.000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Phạt tiền từ 4.000.000 đồng đến dưới 8.000.000 đồng đối với mỗi số chứng từ có số tiền ghi trong chứng từ từ 5.000.000 đồng trở lên.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6. Trường hợp cho, bán chứng từ chưa sử dụng thì xử phạt theo mức quy định tại Khoản 1 và Khoản 2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7. Biện pháp khắc phục hậu quả: Buộc nộp vào ngân sách nhà nước toàn bộ số tiền có được do hành vi vi phạm quy định tại Khoản 1, 2, 3, 4, 5 và Khoản 6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3. Sửa đổi, bổ sung một số Điều quy định về xử phạt vi phạm hành chính trong lĩnh vực quản lý hóa đơn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Sửa đổi, bổ sung Khoản 1 và Khoản 6 Điều 34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“1a. Phạt tiền từ 500.000 đồng đến 1.500.000 đồng đối với hành vi đặt in hóa đơn mà không ký hợp đồng in bằng văn bản;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1b. Phạt tiền từ 2.000.000 đồng đến 4.000.000 đồng đối với hành vi đặt in hóa đơn khi cơ quan thuế đã có văn bản thông báo tổ chức, doanh nghiệp không đủ điều kiện đặt in hóa đơn, trừ trường hợp cơ quan thuế không có ý kiến bằng văn bản khi nhận được đề nghị sử dụng hóa đơn đặt in của tổ chức, doanh nghiệp theo hướng dẫn của Bộ Tài chính.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6. Biện pháp khắc phục hậu quả: Buộc hủy các hóa đơn đặt in không đúng quy định đối với các hành vi vi phạm quy định tại Khoản 1b, Khoản 4 và Khoản 5 Điều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Bổ sung Khoản 1a vào Điều 37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“1a. Phạt tiền từ 500.000 đồng đến 1.500.000 đồng đối với một trong các hành vi:</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Nộp thông báo điều chỉnh thông tin tại thông báo phát hành hóa đơn đến cơ quan thuế quản lý trực tiếp và hành vi nộp bảng kê hóa đơn chưa sử dụng đến cơ quan thuế nơi chuyển đến khi doanh nghiệp thay đổi địa chỉ kinh doanh dẫn đến thay đổi cơ quan thuế quản lý trực tiếp chậm sau 10 ngày kể từ ngày bắt đầu sử dụng hóa đơn tại địa chỉ mới.</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Sử dụng hóa đơn đã được Thông báo phát hành với cơ quan thuế nhưng chưa đến thời hạn sử dụng (05 ngày kể từ ngày gửi Thông báo phát hành)”.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Sửa đổi, bổ sung Khoản 1 Điều 37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Phạt tiền từ 2.000.000 đồng đến 4.000.000 đồng đối với một trong các hành vi:</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Lập Thông báo phát hành hóa đơn không đầy đủ nội dung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Không niêm yết Thông báo phát hành hóa đơn theo đúng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lastRenderedPageBreak/>
        <w:t>c) Nộp thông báo điều chỉnh thông tin tại thông báo phát hành hóa đơn đến cơ quan thuế quản lý trực tiếp và hành vi nộp bảng kê hóa đơn chưa sử dụng đến cơ quan thuế nơi chuyển đến khi doanh nghiệp thay đổi địa chỉ kinh doanh dẫn đến thay đổi cơ quan thuế quản lý trực tiếp từ sau 20 ngày kể từ ngày bắt đầu sử dụng hóa đơn tại địa chỉ mới”.</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4. Bổ sung Điểm g vào Khoản 3 Điều 38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Phạt tiền từ 4.000.000 đồng đến 8.000.000 đồng đối với một trong các hành vi:</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Lập hóa đơn không đúng thời Điểm theo quy định của pháp luật về hóa đơn bán hàng hóa, cung ứng dịch vụ;</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Lập hóa đơn không theo thứ tự từ số nhỏ đến số lớn theo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Ngày ghi trên hóa đơn đã lập xảy ra trước ngày mua hóa đơn của cơ quan thuế;</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d) Lập hóa đơn nhưng không giao cho người mua, trừ trường hợp trên hóa đơn ghi rõ người mua không lấy hóa đơn hoặc hóa đơn được lập theo bảng kê;</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đ) Không lập bảng kê hoặc không lập hóa đơn tổng hợp theo quy định của pháp luật về hóa đơn bán hàng hóa, cung ứng dịch vụ;</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e) Lập sai loại hóa đơn theo quy định của pháp luật về hóa đơn bán hàng hóa, cung ứng dịch vụ và đã giao cho người mua hoặc đã kê khai thuế.</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g) Làm mất, cháy, hỏng hóa đơn đã phát hành nhưng chưa lập hoặc hóa đơn đã lập (liên giao cho khách hàng) nhưng khách hàng chưa nhận được hóa đơn hoặc hóa đơn đã lập theo bảng kê bán lẻ hàng hóa, dịch vụ; trừ trường hợp mất, cháy, hỏng hóa đơn do thiên tai, hỏa hoạn hoặc do sự kiện bất ngờ, sự kiện bất khả kháng khác thì không bị xử phạt tiền.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Trường hợp mất, cháy, hỏng hóa đơn đã lập (liên giao cho khách hàng), người bán và người mua lập biên bản ghi nhận sự việc, người bán đã kê khai, nộp thuế, có hợp đồng, chứng từ chứng minh việc mua bán hàng hóa và có một tình tiết giảm nhẹ thì xử phạt ở mức tối thiểu của khung tiền phạt; nếu có từ hai tình tiết giảm nhẹ thì xử phạt cảnh cáo.</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Trường hợp mất, cháy, hỏng hóa đơn, trừ liên giao cho khách hàng, trong thời gian lưu trữ thì xử phạt theo pháp luật về kế toán.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Trường hợp người bán tìm lại được hóa đơn đã mất (liên giao cho khách hàng) khi cơ quan thuế chưa ban hành quyết định xử phạt thì người bán không bị phạt tiền”.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5. Bãi bỏ Điểm a Khoản 4 Điều 38.</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6. Sửa đổi, bổ sung Khoản 1 Điều 39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Phạt tiền từ 4.000.000 đồng đến 8.000.000 đồng đối với hành vi làm mất, cháy, hỏng hóa đơn đã lập (liên giao cho khách hàng) để hạch toán kế toán, kê khai thuế và thanh toán vốn ngân sách; trừ trường hợp mất, cháy, hỏng hóa đơn do thiên tai, hỏa hoạn hoặc do sự kiện bất ngờ, sự kiện bất khả kháng khác thì không bị xử phạt tiền.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lastRenderedPageBreak/>
        <w:t>Trường hợp mất, cháy, hỏng hóa đơn đã lập (liên giao cho khách hàng), người bán và người mua lập biên bản ghi nhận sự việc, người bán đã kê khai, nộp thuế, có hợp đồng, chứng từ chứng minh việc mua bán hàng hóa và có một tình tiết giảm nhẹ thì xử phạt ở mức tối thiểu của khung tiền phạt; nếu có từ hai tình tiết giảm nhẹ thì xử phạt cảnh cáo.</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Trường hợp người mua tìm lại được hóa đơn đã mất khi cơ quan thuế chưa ban hành quyết định xử phạt thì người mua không bị phạt tiền”.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7. Sửa đổi, bổ sung Khoản 1; bổ sung Khoản 4 vào Điều 40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Phạt tiền từ 200.000 đồng đến 1.000.000 đồng đối với hành vi lập sai hoặc không đầy đủ nội dung của thông báo, báo cáo theo quy định gửi cơ quan thuế, trừ thông báo phát hành hóa đơn.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phạt tiền”.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“4. Biện pháp khắc phục hậu quả: Tổ chức, cá nhân vi phạm Khoản 1 Điều này phải lập và gửi lại cơ quan thuế thông báo, báo cáo đúng quy định”.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8. Bổ sung Khoản 5a vào Điều 44 như sau:</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“5a. Chủ tịch Ủy ban nhân dân các cấp trong phạm vi thẩm quyền của mình quy định tại Luật xử lý vi phạm hành chính có thẩm quyền xử phạt vi phạm hành chính về hóa đơn theo quy định tại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a) Chủ tịch Ủy ban nhân dân cấp xã có quyền: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Phạt cảnh cáo;</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Phạt tiền đến 5.000.000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b) Chủ tịch Ủy ban nhân dân cấp huyện có quyền: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Phạt cảnh cáo;</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Phạt tiền đến 25.000.000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Áp dụng biện pháp khắc phục hậu quả quy định tại Khoản 5 Điều 33, Khoản 6 Điều 34, Khoản 8 Điều 35, Khoản 4 Điều 36, Khoản 3 Điều 37 và Khoản 6 Điều 38 của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c) Chủ tịch Ủy ban nhân dân cấp tỉnh có quyền: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Phạt cảnh cáo;</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Phạt tiền đến 50.000.000 đồng;</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lastRenderedPageBreak/>
        <w:t>- Áp dụng biện pháp khắc phục hậu quả quy định tại Khoản 5 Điều 33, Khoản 6 Điều 34, Khoản 8 Điều 35, Khoản 4 Điều 36, Khoản 3 Điều 37 và Khoản 6 Điều 38 của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4. Hiệu lực thi hành</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Nghị định này có hiệu lực thi hành kể từ ngày 01 tháng 8 năm 2016.</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Các quy định khác về xử phạt vi phạm hành chính trong lĩnh vực quản lý nhà nước về giá, phí, lệ phí và hóa đơn không nêu tại Nghị định này thực hiện theo quy định của Luật Xử lý vi phạm hành chính và Nghị định số 109/2013/NĐ-CP ngày 24 tháng 9 năm 2013.</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3. Việc xử lý đối với hành vi vi phạm về giá, phí, lệ phí và hóa đơn đã xảy ra trước ngày Nghị định này có hiệu lực thi hành thì không áp dụng theo quy định tại Nghị định này mà áp dụng quy định xử lý vi phạm tại thời điểm xảy ra hành vi vi phạm đó.</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Trường hợp mức xử phạt đối với cùng một hành vi quy định tại Nghị định này nhẹ hơn mức xử phạt quy định tại các Nghị định trước thì áp dụng mức xử phạt theo quy định của Nghị định này, kể cả trường hợp xảy ra trước ngày Nghị định này có hiệu lực thi hành, đã bị lập biên bản, nhưng cơ quan có thẩm quyền chưa ra quyết định xử lý hoặc đã ra quyết định xử lý nhưng đang trong thời hạn giải quyết khiếu nại thì xem xét, ra quyết định theo mức xử phạt quy định tại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b/>
          <w:bCs/>
          <w:szCs w:val="24"/>
          <w:lang w:val="en-US" w:eastAsia="vi-VN"/>
        </w:rPr>
        <w:t>Điều 5. Tổ chức thực hiện</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1. Bộ Tài chính hướng dẫn thi hành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8151B2" w:rsidRPr="008151B2" w:rsidRDefault="008151B2" w:rsidP="008151B2">
      <w:pPr>
        <w:spacing w:before="120" w:after="100" w:afterAutospacing="1" w:line="240" w:lineRule="auto"/>
        <w:rPr>
          <w:rFonts w:eastAsia="Times New Roman" w:cs="Times New Roman"/>
          <w:szCs w:val="24"/>
          <w:lang w:val="en-US" w:eastAsia="vi-VN"/>
        </w:rPr>
      </w:pPr>
      <w:r w:rsidRPr="008151B2">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808"/>
        <w:gridCol w:w="4048"/>
      </w:tblGrid>
      <w:tr w:rsidR="008151B2" w:rsidRPr="008151B2" w:rsidTr="008151B2">
        <w:tc>
          <w:tcPr>
            <w:tcW w:w="4808" w:type="dxa"/>
            <w:tcBorders>
              <w:top w:val="nil"/>
              <w:left w:val="nil"/>
              <w:bottom w:val="nil"/>
              <w:right w:val="nil"/>
            </w:tcBorders>
            <w:tcMar>
              <w:top w:w="0" w:type="dxa"/>
              <w:left w:w="108" w:type="dxa"/>
              <w:bottom w:w="0" w:type="dxa"/>
              <w:right w:w="108" w:type="dxa"/>
            </w:tcMar>
            <w:hideMark/>
          </w:tcPr>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b/>
                <w:bCs/>
                <w:i/>
                <w:iCs/>
                <w:szCs w:val="24"/>
                <w:lang w:eastAsia="vi-VN"/>
              </w:rPr>
              <w:t> </w:t>
            </w:r>
          </w:p>
          <w:p w:rsidR="008151B2" w:rsidRPr="008151B2" w:rsidRDefault="008151B2" w:rsidP="008151B2">
            <w:pPr>
              <w:spacing w:before="120" w:after="0" w:line="240" w:lineRule="auto"/>
              <w:rPr>
                <w:rFonts w:eastAsia="Times New Roman" w:cs="Times New Roman"/>
                <w:szCs w:val="24"/>
                <w:lang w:eastAsia="vi-VN"/>
              </w:rPr>
            </w:pPr>
            <w:r w:rsidRPr="008151B2">
              <w:rPr>
                <w:rFonts w:eastAsia="Times New Roman" w:cs="Times New Roman"/>
                <w:b/>
                <w:bCs/>
                <w:i/>
                <w:iCs/>
                <w:szCs w:val="24"/>
                <w:lang w:eastAsia="vi-VN"/>
              </w:rPr>
              <w:t>Nơi nhận:</w:t>
            </w:r>
            <w:r w:rsidRPr="008151B2">
              <w:rPr>
                <w:rFonts w:eastAsia="Times New Roman" w:cs="Times New Roman"/>
                <w:b/>
                <w:bCs/>
                <w:i/>
                <w:iCs/>
                <w:szCs w:val="24"/>
                <w:lang w:eastAsia="vi-VN"/>
              </w:rPr>
              <w:br/>
            </w:r>
            <w:r w:rsidRPr="008151B2">
              <w:rPr>
                <w:rFonts w:eastAsia="Times New Roman" w:cs="Times New Roman"/>
                <w:sz w:val="16"/>
                <w:szCs w:val="24"/>
                <w:lang w:eastAsia="vi-VN"/>
              </w:rPr>
              <w:t>- Ban Bí thư Trung ương Đảng;</w:t>
            </w:r>
            <w:r w:rsidRPr="008151B2">
              <w:rPr>
                <w:rFonts w:eastAsia="Times New Roman" w:cs="Times New Roman"/>
                <w:sz w:val="16"/>
                <w:szCs w:val="24"/>
                <w:lang w:eastAsia="vi-VN"/>
              </w:rPr>
              <w:br/>
              <w:t>- Thủ tướng, các Phó Thủ tướng Chính phủ;</w:t>
            </w:r>
            <w:r w:rsidRPr="008151B2">
              <w:rPr>
                <w:rFonts w:eastAsia="Times New Roman" w:cs="Times New Roman"/>
                <w:sz w:val="16"/>
                <w:szCs w:val="24"/>
                <w:lang w:eastAsia="vi-VN"/>
              </w:rPr>
              <w:br/>
              <w:t>- Các Bộ, cơ quan ngang Bộ, cơ quan thuộc Chính phủ;</w:t>
            </w:r>
            <w:r w:rsidRPr="008151B2">
              <w:rPr>
                <w:rFonts w:eastAsia="Times New Roman" w:cs="Times New Roman"/>
                <w:sz w:val="16"/>
                <w:szCs w:val="24"/>
                <w:lang w:eastAsia="vi-VN"/>
              </w:rPr>
              <w:br/>
              <w:t>- HĐND, UBND các tỉnh, thành phố trực thuộc Trung ương;</w:t>
            </w:r>
            <w:r w:rsidRPr="008151B2">
              <w:rPr>
                <w:rFonts w:eastAsia="Times New Roman" w:cs="Times New Roman"/>
                <w:sz w:val="16"/>
                <w:szCs w:val="24"/>
                <w:lang w:eastAsia="vi-VN"/>
              </w:rPr>
              <w:br/>
              <w:t>- Văn phòng Trung ương và các Ban của Đảng;</w:t>
            </w:r>
            <w:r w:rsidRPr="008151B2">
              <w:rPr>
                <w:rFonts w:eastAsia="Times New Roman" w:cs="Times New Roman"/>
                <w:sz w:val="16"/>
                <w:szCs w:val="24"/>
                <w:lang w:eastAsia="vi-VN"/>
              </w:rPr>
              <w:br/>
              <w:t>- Văn phòng Tổng Bí thư;</w:t>
            </w:r>
            <w:r w:rsidRPr="008151B2">
              <w:rPr>
                <w:rFonts w:eastAsia="Times New Roman" w:cs="Times New Roman"/>
                <w:sz w:val="16"/>
                <w:szCs w:val="24"/>
                <w:lang w:eastAsia="vi-VN"/>
              </w:rPr>
              <w:br/>
              <w:t>- Văn phòng Chủ tịch nước;</w:t>
            </w:r>
            <w:r w:rsidRPr="008151B2">
              <w:rPr>
                <w:rFonts w:eastAsia="Times New Roman" w:cs="Times New Roman"/>
                <w:sz w:val="16"/>
                <w:szCs w:val="24"/>
                <w:lang w:eastAsia="vi-VN"/>
              </w:rPr>
              <w:br/>
              <w:t>- Hội đồng Dân tộc và các Ủy ban của Quốc hội;</w:t>
            </w:r>
            <w:r w:rsidRPr="008151B2">
              <w:rPr>
                <w:rFonts w:eastAsia="Times New Roman" w:cs="Times New Roman"/>
                <w:sz w:val="16"/>
                <w:szCs w:val="24"/>
                <w:lang w:eastAsia="vi-VN"/>
              </w:rPr>
              <w:br/>
              <w:t>- Văn phòng Quốc hội;</w:t>
            </w:r>
            <w:r w:rsidRPr="008151B2">
              <w:rPr>
                <w:rFonts w:eastAsia="Times New Roman" w:cs="Times New Roman"/>
                <w:sz w:val="16"/>
                <w:szCs w:val="24"/>
                <w:lang w:eastAsia="vi-VN"/>
              </w:rPr>
              <w:br/>
              <w:t>- Tòa án nhân dân tối cao;</w:t>
            </w:r>
            <w:r w:rsidRPr="008151B2">
              <w:rPr>
                <w:rFonts w:eastAsia="Times New Roman" w:cs="Times New Roman"/>
                <w:sz w:val="16"/>
                <w:szCs w:val="24"/>
                <w:lang w:eastAsia="vi-VN"/>
              </w:rPr>
              <w:br/>
              <w:t>- Viện Kiểm sát nhân dân tối cao;</w:t>
            </w:r>
            <w:r w:rsidRPr="008151B2">
              <w:rPr>
                <w:rFonts w:eastAsia="Times New Roman" w:cs="Times New Roman"/>
                <w:sz w:val="16"/>
                <w:szCs w:val="24"/>
                <w:lang w:eastAsia="vi-VN"/>
              </w:rPr>
              <w:br/>
              <w:t>- Kiểm toán Nhà nước;</w:t>
            </w:r>
            <w:r w:rsidRPr="008151B2">
              <w:rPr>
                <w:rFonts w:eastAsia="Times New Roman" w:cs="Times New Roman"/>
                <w:sz w:val="16"/>
                <w:szCs w:val="24"/>
                <w:lang w:eastAsia="vi-VN"/>
              </w:rPr>
              <w:br/>
              <w:t>- Ủy ban Giám sát tài chính Quốc gia;</w:t>
            </w:r>
            <w:r w:rsidRPr="008151B2">
              <w:rPr>
                <w:rFonts w:eastAsia="Times New Roman" w:cs="Times New Roman"/>
                <w:sz w:val="16"/>
                <w:szCs w:val="24"/>
                <w:lang w:eastAsia="vi-VN"/>
              </w:rPr>
              <w:br/>
              <w:t>- Ngân hàng Chính sách xã hội;</w:t>
            </w:r>
            <w:r w:rsidRPr="008151B2">
              <w:rPr>
                <w:rFonts w:eastAsia="Times New Roman" w:cs="Times New Roman"/>
                <w:sz w:val="16"/>
                <w:szCs w:val="24"/>
                <w:lang w:eastAsia="vi-VN"/>
              </w:rPr>
              <w:br/>
              <w:t>- Ngân hàng Phát triển Việt Nam;</w:t>
            </w:r>
            <w:r w:rsidRPr="008151B2">
              <w:rPr>
                <w:rFonts w:eastAsia="Times New Roman" w:cs="Times New Roman"/>
                <w:sz w:val="16"/>
                <w:szCs w:val="24"/>
                <w:lang w:eastAsia="vi-VN"/>
              </w:rPr>
              <w:br/>
              <w:t>- Ủy ban Trung ương Mặt trận Tổ quốc Việt Nam;</w:t>
            </w:r>
            <w:r w:rsidRPr="008151B2">
              <w:rPr>
                <w:rFonts w:eastAsia="Times New Roman" w:cs="Times New Roman"/>
                <w:sz w:val="16"/>
                <w:szCs w:val="24"/>
                <w:lang w:eastAsia="vi-VN"/>
              </w:rPr>
              <w:br/>
              <w:t>- Cơ quan Trung ương của các đoàn thể;</w:t>
            </w:r>
            <w:r w:rsidRPr="008151B2">
              <w:rPr>
                <w:rFonts w:eastAsia="Times New Roman" w:cs="Times New Roman"/>
                <w:sz w:val="16"/>
                <w:szCs w:val="24"/>
                <w:lang w:eastAsia="vi-VN"/>
              </w:rPr>
              <w:br/>
              <w:t>- Ban Chỉ đạo Đổi mới và Phát triển doanh nghiệp;</w:t>
            </w:r>
            <w:r w:rsidRPr="008151B2">
              <w:rPr>
                <w:rFonts w:eastAsia="Times New Roman" w:cs="Times New Roman"/>
                <w:sz w:val="16"/>
                <w:szCs w:val="24"/>
                <w:lang w:eastAsia="vi-VN"/>
              </w:rPr>
              <w:br/>
              <w:t>- Phòng Thương mại và Công nghiệp Việt Nam;</w:t>
            </w:r>
            <w:r w:rsidRPr="008151B2">
              <w:rPr>
                <w:rFonts w:eastAsia="Times New Roman" w:cs="Times New Roman"/>
                <w:sz w:val="16"/>
                <w:szCs w:val="24"/>
                <w:lang w:eastAsia="vi-VN"/>
              </w:rPr>
              <w:br/>
              <w:t>- Hiệp hội doanh nghiệp nhỏ và vừa Việt Nam;</w:t>
            </w:r>
            <w:r w:rsidRPr="008151B2">
              <w:rPr>
                <w:rFonts w:eastAsia="Times New Roman" w:cs="Times New Roman"/>
                <w:sz w:val="16"/>
                <w:szCs w:val="24"/>
                <w:lang w:eastAsia="vi-VN"/>
              </w:rPr>
              <w:br/>
            </w:r>
            <w:r w:rsidRPr="008151B2">
              <w:rPr>
                <w:rFonts w:eastAsia="Times New Roman" w:cs="Times New Roman"/>
                <w:sz w:val="16"/>
                <w:szCs w:val="24"/>
                <w:lang w:eastAsia="vi-VN"/>
              </w:rPr>
              <w:lastRenderedPageBreak/>
              <w:t>- VPCP: BTCN, các PCN, Trợ lý TTg, TGĐ Cổng TTĐT, các Vụ, Cục, đơn vị trực thuộc, Công báo;</w:t>
            </w:r>
            <w:r w:rsidRPr="008151B2">
              <w:rPr>
                <w:rFonts w:eastAsia="Times New Roman" w:cs="Times New Roman"/>
                <w:sz w:val="16"/>
                <w:szCs w:val="24"/>
                <w:lang w:eastAsia="vi-VN"/>
              </w:rPr>
              <w:br/>
              <w:t>- Lưu: VT, KTTH (3b).</w:t>
            </w:r>
          </w:p>
        </w:tc>
        <w:tc>
          <w:tcPr>
            <w:tcW w:w="4048" w:type="dxa"/>
            <w:tcBorders>
              <w:top w:val="nil"/>
              <w:left w:val="nil"/>
              <w:bottom w:val="nil"/>
              <w:right w:val="nil"/>
            </w:tcBorders>
            <w:tcMar>
              <w:top w:w="0" w:type="dxa"/>
              <w:left w:w="108" w:type="dxa"/>
              <w:bottom w:w="0" w:type="dxa"/>
              <w:right w:w="108" w:type="dxa"/>
            </w:tcMar>
            <w:hideMark/>
          </w:tcPr>
          <w:p w:rsidR="008151B2" w:rsidRPr="008151B2" w:rsidRDefault="008151B2" w:rsidP="008151B2">
            <w:pPr>
              <w:spacing w:before="120" w:after="0" w:line="240" w:lineRule="auto"/>
              <w:jc w:val="center"/>
              <w:rPr>
                <w:rFonts w:eastAsia="Times New Roman" w:cs="Times New Roman"/>
                <w:szCs w:val="24"/>
                <w:lang w:eastAsia="vi-VN"/>
              </w:rPr>
            </w:pPr>
            <w:r w:rsidRPr="008151B2">
              <w:rPr>
                <w:rFonts w:eastAsia="Times New Roman" w:cs="Times New Roman"/>
                <w:b/>
                <w:bCs/>
                <w:szCs w:val="24"/>
                <w:lang w:eastAsia="vi-VN"/>
              </w:rPr>
              <w:lastRenderedPageBreak/>
              <w:t>TM. CHÍNH PHỦ</w:t>
            </w:r>
            <w:r w:rsidRPr="008151B2">
              <w:rPr>
                <w:rFonts w:eastAsia="Times New Roman" w:cs="Times New Roman"/>
                <w:b/>
                <w:bCs/>
                <w:szCs w:val="24"/>
                <w:lang w:eastAsia="vi-VN"/>
              </w:rPr>
              <w:br/>
              <w:t>THỦ TƯỚNG</w:t>
            </w:r>
            <w:r w:rsidRPr="008151B2">
              <w:rPr>
                <w:rFonts w:eastAsia="Times New Roman" w:cs="Times New Roman"/>
                <w:b/>
                <w:bCs/>
                <w:szCs w:val="24"/>
                <w:lang w:eastAsia="vi-VN"/>
              </w:rPr>
              <w:br/>
            </w:r>
            <w:r w:rsidRPr="008151B2">
              <w:rPr>
                <w:rFonts w:eastAsia="Times New Roman" w:cs="Times New Roman"/>
                <w:b/>
                <w:bCs/>
                <w:szCs w:val="24"/>
                <w:lang w:eastAsia="vi-VN"/>
              </w:rPr>
              <w:br/>
            </w:r>
            <w:r w:rsidRPr="008151B2">
              <w:rPr>
                <w:rFonts w:eastAsia="Times New Roman" w:cs="Times New Roman"/>
                <w:b/>
                <w:bCs/>
                <w:szCs w:val="24"/>
                <w:lang w:eastAsia="vi-VN"/>
              </w:rPr>
              <w:br/>
            </w:r>
            <w:r w:rsidRPr="008151B2">
              <w:rPr>
                <w:rFonts w:eastAsia="Times New Roman" w:cs="Times New Roman"/>
                <w:b/>
                <w:bCs/>
                <w:szCs w:val="24"/>
                <w:lang w:eastAsia="vi-VN"/>
              </w:rPr>
              <w:br/>
            </w:r>
            <w:r w:rsidRPr="008151B2">
              <w:rPr>
                <w:rFonts w:eastAsia="Times New Roman" w:cs="Times New Roman"/>
                <w:b/>
                <w:bCs/>
                <w:szCs w:val="24"/>
                <w:lang w:eastAsia="vi-VN"/>
              </w:rPr>
              <w:br/>
              <w:t>Nguyễn Xuân Phúc</w:t>
            </w:r>
          </w:p>
        </w:tc>
      </w:tr>
    </w:tbl>
    <w:p w:rsidR="008151B2" w:rsidRPr="008151B2" w:rsidRDefault="008151B2" w:rsidP="008151B2">
      <w:pPr>
        <w:spacing w:before="120" w:after="100" w:afterAutospacing="1" w:line="240" w:lineRule="auto"/>
        <w:rPr>
          <w:rFonts w:eastAsia="Times New Roman" w:cs="Times New Roman"/>
          <w:szCs w:val="24"/>
          <w:lang w:eastAsia="vi-VN"/>
        </w:rPr>
      </w:pPr>
      <w:r w:rsidRPr="008151B2">
        <w:rPr>
          <w:rFonts w:eastAsia="Times New Roman" w:cs="Times New Roman"/>
          <w:b/>
          <w:bCs/>
          <w:szCs w:val="24"/>
          <w:lang w:eastAsia="vi-VN"/>
        </w:rPr>
        <w:t> </w:t>
      </w:r>
    </w:p>
    <w:p w:rsidR="008151B2" w:rsidRPr="008151B2" w:rsidRDefault="008151B2" w:rsidP="008151B2">
      <w:pPr>
        <w:spacing w:after="100" w:afterAutospacing="1" w:line="240" w:lineRule="auto"/>
        <w:rPr>
          <w:rFonts w:eastAsia="Times New Roman" w:cs="Times New Roman"/>
          <w:szCs w:val="24"/>
          <w:lang w:eastAsia="vi-VN"/>
        </w:rPr>
      </w:pPr>
      <w:r w:rsidRPr="008151B2">
        <w:rPr>
          <w:rFonts w:eastAsia="Times New Roman" w:cs="Times New Roman"/>
          <w:szCs w:val="24"/>
          <w:lang w:eastAsia="vi-VN"/>
        </w:rPr>
        <w:t> </w:t>
      </w:r>
    </w:p>
    <w:p w:rsidR="00F1132A" w:rsidRPr="008151B2" w:rsidRDefault="00F1132A" w:rsidP="008151B2">
      <w:bookmarkStart w:id="0" w:name="_GoBack"/>
      <w:bookmarkEnd w:id="0"/>
    </w:p>
    <w:sectPr w:rsidR="00F1132A" w:rsidRPr="008151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B55" w:rsidRDefault="00560B55" w:rsidP="00BC20A2">
      <w:pPr>
        <w:spacing w:after="0" w:line="240" w:lineRule="auto"/>
      </w:pPr>
      <w:r>
        <w:separator/>
      </w:r>
    </w:p>
  </w:endnote>
  <w:endnote w:type="continuationSeparator" w:id="0">
    <w:p w:rsidR="00560B55" w:rsidRDefault="00560B55"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B55" w:rsidRDefault="00560B55" w:rsidP="00BC20A2">
      <w:pPr>
        <w:spacing w:after="0" w:line="240" w:lineRule="auto"/>
      </w:pPr>
      <w:r>
        <w:separator/>
      </w:r>
    </w:p>
  </w:footnote>
  <w:footnote w:type="continuationSeparator" w:id="0">
    <w:p w:rsidR="00560B55" w:rsidRDefault="00560B55"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74C0E"/>
    <w:rsid w:val="004B2094"/>
    <w:rsid w:val="004C03D0"/>
    <w:rsid w:val="004C466C"/>
    <w:rsid w:val="004D033C"/>
    <w:rsid w:val="004D4327"/>
    <w:rsid w:val="004F1A40"/>
    <w:rsid w:val="004F7CF0"/>
    <w:rsid w:val="005156D9"/>
    <w:rsid w:val="0053030B"/>
    <w:rsid w:val="00545D79"/>
    <w:rsid w:val="00552C03"/>
    <w:rsid w:val="00560B55"/>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2017-11-18T06:45:00Z</dcterms:created>
  <dcterms:modified xsi:type="dcterms:W3CDTF">2017-11-18T06:45:00Z</dcterms:modified>
</cp:coreProperties>
</file>